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F6" w:rsidRPr="000B1188" w:rsidRDefault="009B20F6" w:rsidP="00413FE1">
      <w:pPr>
        <w:rPr>
          <w:b/>
          <w:i/>
        </w:rPr>
      </w:pPr>
      <w:r w:rsidRPr="000B1188">
        <w:rPr>
          <w:b/>
          <w:i/>
        </w:rPr>
        <w:t>Introducción:</w:t>
      </w:r>
    </w:p>
    <w:p w:rsidR="00911B49" w:rsidRDefault="00911B49" w:rsidP="00911B49">
      <w:pPr>
        <w:jc w:val="both"/>
        <w:rPr>
          <w:i/>
        </w:rPr>
      </w:pPr>
      <w:r>
        <w:rPr>
          <w:i/>
        </w:rPr>
        <w:t xml:space="preserve">Una de las premisas de la Bioseguridad, es mantener la sanidad de los animales de compra y al mismo tiempo, la de los cerdos residentes en la granja. </w:t>
      </w:r>
    </w:p>
    <w:p w:rsidR="00911B49" w:rsidRDefault="00911B49" w:rsidP="00911B49">
      <w:pPr>
        <w:jc w:val="both"/>
        <w:rPr>
          <w:i/>
        </w:rPr>
      </w:pPr>
      <w:r>
        <w:rPr>
          <w:i/>
        </w:rPr>
        <w:t>A tal efecto, s</w:t>
      </w:r>
      <w:r w:rsidR="009B20F6">
        <w:rPr>
          <w:i/>
        </w:rPr>
        <w:t xml:space="preserve">e </w:t>
      </w:r>
      <w:r w:rsidR="000B1188">
        <w:rPr>
          <w:i/>
        </w:rPr>
        <w:t>describen</w:t>
      </w:r>
      <w:r w:rsidR="009B20F6">
        <w:rPr>
          <w:i/>
        </w:rPr>
        <w:t xml:space="preserve"> </w:t>
      </w:r>
      <w:r>
        <w:rPr>
          <w:i/>
        </w:rPr>
        <w:t xml:space="preserve">a modo de ejemplo </w:t>
      </w:r>
      <w:r w:rsidR="009B20F6">
        <w:rPr>
          <w:i/>
        </w:rPr>
        <w:t xml:space="preserve">diferentes protocolos de </w:t>
      </w:r>
      <w:r>
        <w:rPr>
          <w:i/>
        </w:rPr>
        <w:t xml:space="preserve">chequeo sanitario de cerdos en Cuarentena. </w:t>
      </w:r>
    </w:p>
    <w:p w:rsidR="009B20F6" w:rsidRDefault="00911B49" w:rsidP="00911B49">
      <w:pPr>
        <w:jc w:val="both"/>
        <w:rPr>
          <w:i/>
        </w:rPr>
      </w:pPr>
      <w:r>
        <w:rPr>
          <w:i/>
        </w:rPr>
        <w:t xml:space="preserve">Los mismos deberán ser adaptados en base al status sanitario de la granja; de los animales a ingresar; a la infraestructura y al convenio sanitario con el proveedor de genética. </w:t>
      </w:r>
    </w:p>
    <w:p w:rsidR="009B20F6" w:rsidRDefault="009B20F6" w:rsidP="00413FE1">
      <w:pPr>
        <w:rPr>
          <w:i/>
        </w:rPr>
      </w:pPr>
    </w:p>
    <w:p w:rsidR="00413FE1" w:rsidRDefault="009B20F6" w:rsidP="00413FE1">
      <w:pPr>
        <w:rPr>
          <w:b/>
          <w:i/>
        </w:rPr>
      </w:pPr>
      <w:r w:rsidRPr="005A2EEE">
        <w:rPr>
          <w:b/>
          <w:i/>
        </w:rPr>
        <w:t>PROTOCOLO 1</w:t>
      </w:r>
    </w:p>
    <w:p w:rsidR="00911B49" w:rsidRPr="005A2EEE" w:rsidRDefault="00911B49" w:rsidP="00413FE1">
      <w:pPr>
        <w:rPr>
          <w:b/>
          <w:i/>
        </w:rPr>
      </w:pPr>
    </w:p>
    <w:p w:rsidR="005A2EEE" w:rsidRPr="00911B49" w:rsidRDefault="00911B49" w:rsidP="00413FE1">
      <w:pPr>
        <w:rPr>
          <w:b/>
          <w:i/>
        </w:rPr>
      </w:pPr>
      <w:r w:rsidRPr="00911B49">
        <w:rPr>
          <w:b/>
          <w:i/>
        </w:rPr>
        <w:t>Alcance:</w:t>
      </w:r>
    </w:p>
    <w:p w:rsidR="009B20F6" w:rsidRDefault="009B20F6" w:rsidP="00413FE1">
      <w:pPr>
        <w:rPr>
          <w:i/>
        </w:rPr>
      </w:pPr>
      <w:r>
        <w:rPr>
          <w:i/>
        </w:rPr>
        <w:t>Cerdos importados, libre de Mycoplasma hyopneumoniae y Actinobacillus pleuropneumoniae.</w:t>
      </w:r>
    </w:p>
    <w:p w:rsidR="00413FE1" w:rsidRDefault="00413FE1" w:rsidP="00413FE1">
      <w:pPr>
        <w:rPr>
          <w:i/>
        </w:rPr>
      </w:pPr>
    </w:p>
    <w:p w:rsidR="009B20F6" w:rsidRPr="00132892" w:rsidRDefault="009B20F6" w:rsidP="009B20F6">
      <w:pPr>
        <w:rPr>
          <w:i/>
        </w:rPr>
      </w:pPr>
      <w:r w:rsidRPr="00132892">
        <w:rPr>
          <w:b/>
          <w:bCs/>
          <w:i/>
        </w:rPr>
        <w:t>Día 0:</w:t>
      </w:r>
      <w:r w:rsidRPr="00132892">
        <w:rPr>
          <w:i/>
        </w:rPr>
        <w:t xml:space="preserve"> </w:t>
      </w:r>
    </w:p>
    <w:p w:rsidR="009B20F6" w:rsidRDefault="009B20F6" w:rsidP="009B20F6">
      <w:pPr>
        <w:rPr>
          <w:i/>
        </w:rPr>
      </w:pPr>
      <w:r>
        <w:rPr>
          <w:i/>
        </w:rPr>
        <w:t>Ingreso de los animales</w:t>
      </w:r>
    </w:p>
    <w:p w:rsidR="009B20F6" w:rsidRPr="00132892" w:rsidRDefault="009B20F6" w:rsidP="009B20F6">
      <w:pPr>
        <w:rPr>
          <w:i/>
        </w:rPr>
      </w:pPr>
    </w:p>
    <w:p w:rsidR="009B20F6" w:rsidRDefault="009B20F6" w:rsidP="009B20F6">
      <w:pPr>
        <w:rPr>
          <w:i/>
        </w:rPr>
      </w:pPr>
      <w:r w:rsidRPr="00132892">
        <w:rPr>
          <w:b/>
          <w:bCs/>
          <w:i/>
        </w:rPr>
        <w:t xml:space="preserve">Día 0 - </w:t>
      </w:r>
      <w:r>
        <w:rPr>
          <w:b/>
          <w:bCs/>
          <w:i/>
        </w:rPr>
        <w:t>3</w:t>
      </w:r>
      <w:r w:rsidRPr="00132892">
        <w:rPr>
          <w:i/>
        </w:rPr>
        <w:t xml:space="preserve">: </w:t>
      </w:r>
    </w:p>
    <w:p w:rsidR="009B20F6" w:rsidRDefault="009B20F6" w:rsidP="009B20F6">
      <w:pPr>
        <w:rPr>
          <w:i/>
        </w:rPr>
      </w:pPr>
      <w:r w:rsidRPr="009B20F6">
        <w:rPr>
          <w:i/>
        </w:rPr>
        <w:t>Extracción</w:t>
      </w:r>
      <w:r w:rsidRPr="009B20F6">
        <w:rPr>
          <w:i/>
        </w:rPr>
        <w:t xml:space="preserve"> </w:t>
      </w:r>
      <w:r w:rsidRPr="009B20F6">
        <w:rPr>
          <w:i/>
        </w:rPr>
        <w:t>de muestras de sangre</w:t>
      </w:r>
    </w:p>
    <w:p w:rsidR="005A2EEE" w:rsidRPr="009B20F6" w:rsidRDefault="005A2EEE" w:rsidP="009B20F6">
      <w:pPr>
        <w:rPr>
          <w:i/>
        </w:rPr>
      </w:pPr>
    </w:p>
    <w:p w:rsidR="009B20F6" w:rsidRPr="00132892" w:rsidRDefault="009B20F6" w:rsidP="009B20F6">
      <w:pPr>
        <w:rPr>
          <w:i/>
        </w:rPr>
      </w:pPr>
      <w:r w:rsidRPr="00132892">
        <w:rPr>
          <w:i/>
        </w:rPr>
        <w:t>Análisis a realizar:</w:t>
      </w:r>
    </w:p>
    <w:p w:rsidR="009B20F6" w:rsidRDefault="009B20F6" w:rsidP="009B20F6">
      <w:pPr>
        <w:rPr>
          <w:rFonts w:asciiTheme="minorHAnsi" w:hAnsiTheme="minorHAnsi"/>
        </w:rPr>
      </w:pPr>
      <w:r>
        <w:t>Brucelosis</w:t>
      </w:r>
    </w:p>
    <w:p w:rsidR="009B20F6" w:rsidRDefault="009B20F6" w:rsidP="009B20F6">
      <w:r>
        <w:t>Aujeszky</w:t>
      </w:r>
    </w:p>
    <w:p w:rsidR="009B20F6" w:rsidRDefault="009B20F6" w:rsidP="009B20F6">
      <w:r>
        <w:t xml:space="preserve">Mycoplasma hyopneumoniae </w:t>
      </w:r>
    </w:p>
    <w:p w:rsidR="009B20F6" w:rsidRDefault="009B20F6" w:rsidP="009B20F6">
      <w:r>
        <w:t xml:space="preserve">Actinobacillus pleuropneumoniae (ELISA IDEXX </w:t>
      </w:r>
      <w:proofErr w:type="spellStart"/>
      <w:r>
        <w:t>ApX</w:t>
      </w:r>
      <w:proofErr w:type="spellEnd"/>
      <w:r>
        <w:t xml:space="preserve"> IV)</w:t>
      </w:r>
    </w:p>
    <w:p w:rsidR="009B20F6" w:rsidRDefault="009B20F6" w:rsidP="009B20F6">
      <w:r>
        <w:t xml:space="preserve">Actinobacillus pleuropneumoniae (ELISA Biovet Multi APP), a los positivos a </w:t>
      </w:r>
      <w:proofErr w:type="spellStart"/>
      <w:r>
        <w:t>ApX</w:t>
      </w:r>
      <w:proofErr w:type="spellEnd"/>
      <w:r>
        <w:t xml:space="preserve"> IV</w:t>
      </w:r>
    </w:p>
    <w:p w:rsidR="009B20F6" w:rsidRDefault="009B20F6" w:rsidP="009B20F6">
      <w:r>
        <w:t>Coronavirus: Gastroenteritis transmisible (TGE) y Coronavirus respiratorio (PRCV)</w:t>
      </w:r>
    </w:p>
    <w:p w:rsidR="009B20F6" w:rsidRDefault="009B20F6" w:rsidP="009B20F6">
      <w:r>
        <w:t>Síndrome Respiratorio y Reproductivo Porcino (PRRS)</w:t>
      </w:r>
    </w:p>
    <w:p w:rsidR="009B20F6" w:rsidRPr="00132892" w:rsidRDefault="009B20F6" w:rsidP="009B20F6">
      <w:pPr>
        <w:rPr>
          <w:i/>
        </w:rPr>
      </w:pPr>
    </w:p>
    <w:p w:rsidR="009B20F6" w:rsidRPr="00132892" w:rsidRDefault="009B20F6" w:rsidP="009B20F6">
      <w:pPr>
        <w:rPr>
          <w:i/>
        </w:rPr>
      </w:pPr>
      <w:r w:rsidRPr="00132892">
        <w:rPr>
          <w:i/>
        </w:rPr>
        <w:t>Adicionales:</w:t>
      </w:r>
    </w:p>
    <w:p w:rsidR="009B20F6" w:rsidRPr="009B20F6" w:rsidRDefault="009B20F6" w:rsidP="009B20F6">
      <w:r w:rsidRPr="009B20F6">
        <w:t>Ileítis</w:t>
      </w:r>
      <w:r>
        <w:t xml:space="preserve">, </w:t>
      </w:r>
      <w:r w:rsidRPr="009B20F6">
        <w:t>Influenza</w:t>
      </w:r>
      <w:r>
        <w:t xml:space="preserve">, </w:t>
      </w:r>
      <w:r w:rsidRPr="009B20F6">
        <w:t>Circovirus</w:t>
      </w:r>
      <w:r>
        <w:t xml:space="preserve">, </w:t>
      </w:r>
      <w:r w:rsidRPr="009B20F6">
        <w:t>Salmonella</w:t>
      </w:r>
      <w:r>
        <w:t xml:space="preserve">, </w:t>
      </w:r>
      <w:r w:rsidRPr="009B20F6">
        <w:t>Haemophilus parasuis</w:t>
      </w:r>
    </w:p>
    <w:p w:rsidR="009B20F6" w:rsidRPr="00132892" w:rsidRDefault="009B20F6" w:rsidP="009B20F6">
      <w:pPr>
        <w:rPr>
          <w:i/>
        </w:rPr>
      </w:pPr>
    </w:p>
    <w:p w:rsidR="009B20F6" w:rsidRDefault="009B20F6" w:rsidP="009B20F6">
      <w:pPr>
        <w:rPr>
          <w:i/>
        </w:rPr>
      </w:pPr>
      <w:r w:rsidRPr="00132892">
        <w:rPr>
          <w:b/>
          <w:bCs/>
          <w:i/>
        </w:rPr>
        <w:t xml:space="preserve">Día </w:t>
      </w:r>
      <w:r>
        <w:rPr>
          <w:b/>
          <w:bCs/>
          <w:i/>
        </w:rPr>
        <w:t>25</w:t>
      </w:r>
      <w:r w:rsidRPr="00132892">
        <w:rPr>
          <w:i/>
        </w:rPr>
        <w:t>:</w:t>
      </w:r>
    </w:p>
    <w:p w:rsidR="009B20F6" w:rsidRPr="00132892" w:rsidRDefault="009B20F6" w:rsidP="009B20F6">
      <w:pPr>
        <w:rPr>
          <w:i/>
        </w:rPr>
      </w:pPr>
      <w:r w:rsidRPr="009B20F6">
        <w:rPr>
          <w:i/>
        </w:rPr>
        <w:t xml:space="preserve">Extracción de muestras de sangre </w:t>
      </w:r>
      <w:r>
        <w:rPr>
          <w:i/>
        </w:rPr>
        <w:t>(segundo sangrado)</w:t>
      </w:r>
    </w:p>
    <w:p w:rsidR="005A2EEE" w:rsidRPr="00132892" w:rsidRDefault="005A2EEE" w:rsidP="005A2EEE">
      <w:pPr>
        <w:rPr>
          <w:i/>
        </w:rPr>
      </w:pPr>
      <w:r>
        <w:rPr>
          <w:i/>
        </w:rPr>
        <w:t>Vacunación de Mycoplasma, Circovirus, Ileítis, Reproductivas (en caso de corresponder)</w:t>
      </w:r>
    </w:p>
    <w:p w:rsidR="009B20F6" w:rsidRPr="00132892" w:rsidRDefault="009B20F6" w:rsidP="009B20F6">
      <w:pPr>
        <w:rPr>
          <w:i/>
        </w:rPr>
      </w:pPr>
    </w:p>
    <w:p w:rsidR="009B20F6" w:rsidRPr="00132892" w:rsidRDefault="009B20F6" w:rsidP="009B20F6">
      <w:pPr>
        <w:rPr>
          <w:b/>
          <w:bCs/>
          <w:i/>
        </w:rPr>
      </w:pPr>
      <w:r w:rsidRPr="00132892">
        <w:rPr>
          <w:b/>
          <w:bCs/>
          <w:i/>
        </w:rPr>
        <w:t xml:space="preserve">Día </w:t>
      </w:r>
      <w:r w:rsidR="005A2EEE">
        <w:rPr>
          <w:b/>
          <w:bCs/>
          <w:i/>
        </w:rPr>
        <w:t>3</w:t>
      </w:r>
      <w:r>
        <w:rPr>
          <w:b/>
          <w:bCs/>
          <w:i/>
        </w:rPr>
        <w:t>5</w:t>
      </w:r>
      <w:r w:rsidRPr="00132892">
        <w:rPr>
          <w:b/>
          <w:bCs/>
          <w:i/>
        </w:rPr>
        <w:t>:</w:t>
      </w:r>
    </w:p>
    <w:p w:rsidR="009B20F6" w:rsidRPr="00132892" w:rsidRDefault="009B20F6" w:rsidP="009B20F6">
      <w:pPr>
        <w:rPr>
          <w:i/>
        </w:rPr>
      </w:pPr>
      <w:r w:rsidRPr="00132892">
        <w:rPr>
          <w:i/>
        </w:rPr>
        <w:t>Comienzo medicación (Clortetraciclina-Tilosina en alimento, por ejemplo); que durará hasta el egreso.</w:t>
      </w:r>
    </w:p>
    <w:p w:rsidR="009B20F6" w:rsidRDefault="009B20F6" w:rsidP="009B20F6">
      <w:pPr>
        <w:rPr>
          <w:b/>
          <w:bCs/>
          <w:i/>
        </w:rPr>
      </w:pPr>
    </w:p>
    <w:p w:rsidR="009B20F6" w:rsidRPr="00132892" w:rsidRDefault="009B20F6" w:rsidP="009B20F6">
      <w:pPr>
        <w:rPr>
          <w:b/>
          <w:bCs/>
          <w:i/>
        </w:rPr>
      </w:pPr>
      <w:r w:rsidRPr="00132892">
        <w:rPr>
          <w:b/>
          <w:bCs/>
          <w:i/>
        </w:rPr>
        <w:t xml:space="preserve">Día </w:t>
      </w:r>
      <w:r>
        <w:rPr>
          <w:b/>
          <w:bCs/>
          <w:i/>
        </w:rPr>
        <w:t>4</w:t>
      </w:r>
      <w:r w:rsidRPr="00132892">
        <w:rPr>
          <w:b/>
          <w:bCs/>
          <w:i/>
        </w:rPr>
        <w:t>5:</w:t>
      </w:r>
    </w:p>
    <w:p w:rsidR="005A2EEE" w:rsidRDefault="009B20F6" w:rsidP="009B20F6">
      <w:pPr>
        <w:rPr>
          <w:i/>
        </w:rPr>
      </w:pPr>
      <w:r>
        <w:rPr>
          <w:i/>
        </w:rPr>
        <w:t>Segunda v</w:t>
      </w:r>
      <w:r>
        <w:rPr>
          <w:i/>
        </w:rPr>
        <w:t>acunación de Mycoplasma, Circovirus, Reproductivas (en caso de corresponder)</w:t>
      </w:r>
    </w:p>
    <w:p w:rsidR="005A2EEE" w:rsidRPr="00132892" w:rsidRDefault="00911B49" w:rsidP="005A2EEE">
      <w:pPr>
        <w:rPr>
          <w:i/>
        </w:rPr>
      </w:pPr>
      <w:r>
        <w:rPr>
          <w:i/>
        </w:rPr>
        <w:t>Tulatromicina o similar, iny</w:t>
      </w:r>
      <w:r w:rsidR="005A2EEE" w:rsidRPr="00132892">
        <w:rPr>
          <w:i/>
        </w:rPr>
        <w:t>ectable</w:t>
      </w:r>
    </w:p>
    <w:p w:rsidR="009B20F6" w:rsidRPr="00132892" w:rsidRDefault="009B20F6" w:rsidP="009B20F6">
      <w:pPr>
        <w:rPr>
          <w:i/>
        </w:rPr>
      </w:pPr>
    </w:p>
    <w:p w:rsidR="009B20F6" w:rsidRPr="00132892" w:rsidRDefault="009B20F6" w:rsidP="009B20F6">
      <w:pPr>
        <w:rPr>
          <w:b/>
          <w:bCs/>
          <w:i/>
        </w:rPr>
      </w:pPr>
      <w:r w:rsidRPr="00132892">
        <w:rPr>
          <w:b/>
          <w:bCs/>
          <w:i/>
        </w:rPr>
        <w:t>Día 5</w:t>
      </w:r>
      <w:r>
        <w:rPr>
          <w:b/>
          <w:bCs/>
          <w:i/>
        </w:rPr>
        <w:t>0</w:t>
      </w:r>
      <w:r w:rsidRPr="00132892">
        <w:rPr>
          <w:b/>
          <w:bCs/>
          <w:i/>
        </w:rPr>
        <w:t>:</w:t>
      </w:r>
    </w:p>
    <w:p w:rsidR="009B20F6" w:rsidRPr="00132892" w:rsidRDefault="009B20F6" w:rsidP="009B20F6">
      <w:pPr>
        <w:rPr>
          <w:i/>
        </w:rPr>
      </w:pPr>
      <w:r w:rsidRPr="00132892">
        <w:rPr>
          <w:i/>
        </w:rPr>
        <w:t>Transferencia a la granja</w:t>
      </w:r>
    </w:p>
    <w:p w:rsidR="009B20F6" w:rsidRPr="00132892" w:rsidRDefault="009B20F6" w:rsidP="009B20F6">
      <w:pPr>
        <w:rPr>
          <w:i/>
        </w:rPr>
      </w:pPr>
    </w:p>
    <w:p w:rsidR="009B20F6" w:rsidRPr="00132892" w:rsidRDefault="009B20F6" w:rsidP="00223556">
      <w:pPr>
        <w:jc w:val="both"/>
        <w:rPr>
          <w:i/>
        </w:rPr>
      </w:pPr>
      <w:r w:rsidRPr="00132892">
        <w:rPr>
          <w:b/>
          <w:bCs/>
          <w:i/>
        </w:rPr>
        <w:t xml:space="preserve">Día </w:t>
      </w:r>
      <w:r w:rsidR="00223556">
        <w:rPr>
          <w:b/>
          <w:bCs/>
          <w:i/>
        </w:rPr>
        <w:t>0</w:t>
      </w:r>
      <w:r w:rsidRPr="00132892">
        <w:rPr>
          <w:b/>
          <w:bCs/>
          <w:i/>
        </w:rPr>
        <w:t xml:space="preserve"> – </w:t>
      </w:r>
      <w:r w:rsidR="00223556">
        <w:rPr>
          <w:b/>
          <w:bCs/>
          <w:i/>
        </w:rPr>
        <w:t>50</w:t>
      </w:r>
      <w:r w:rsidRPr="00132892">
        <w:rPr>
          <w:i/>
        </w:rPr>
        <w:t xml:space="preserve">: monitoreo mínimo dos veces al día para evaluar estado de salud (apetito, temperatura, tos, diarrea, etc.). </w:t>
      </w:r>
    </w:p>
    <w:p w:rsidR="00223556" w:rsidRDefault="00223556" w:rsidP="00223556">
      <w:pPr>
        <w:rPr>
          <w:b/>
          <w:i/>
        </w:rPr>
      </w:pPr>
      <w:r w:rsidRPr="00223556">
        <w:rPr>
          <w:b/>
          <w:i/>
        </w:rPr>
        <w:t>PROTOCOLO 2</w:t>
      </w:r>
    </w:p>
    <w:p w:rsidR="005A2EEE" w:rsidRDefault="005A2EEE" w:rsidP="00223556">
      <w:pPr>
        <w:rPr>
          <w:b/>
          <w:i/>
        </w:rPr>
      </w:pPr>
    </w:p>
    <w:p w:rsidR="00911B49" w:rsidRPr="00911B49" w:rsidRDefault="00911B49" w:rsidP="00911B49">
      <w:pPr>
        <w:rPr>
          <w:b/>
          <w:i/>
        </w:rPr>
      </w:pPr>
      <w:r w:rsidRPr="00911B49">
        <w:rPr>
          <w:b/>
          <w:i/>
        </w:rPr>
        <w:t>Alcance:</w:t>
      </w:r>
    </w:p>
    <w:p w:rsidR="00223556" w:rsidRDefault="00223556" w:rsidP="00911B49">
      <w:pPr>
        <w:jc w:val="both"/>
        <w:rPr>
          <w:i/>
        </w:rPr>
      </w:pPr>
      <w:r>
        <w:rPr>
          <w:i/>
        </w:rPr>
        <w:t xml:space="preserve">Cerdos </w:t>
      </w:r>
      <w:r>
        <w:rPr>
          <w:i/>
        </w:rPr>
        <w:t>nacionales</w:t>
      </w:r>
      <w:r>
        <w:rPr>
          <w:i/>
        </w:rPr>
        <w:t>, libre</w:t>
      </w:r>
      <w:r>
        <w:rPr>
          <w:i/>
        </w:rPr>
        <w:t>s</w:t>
      </w:r>
      <w:r>
        <w:rPr>
          <w:i/>
        </w:rPr>
        <w:t xml:space="preserve"> de Mycoplasma hyopneumoniae y </w:t>
      </w:r>
      <w:r>
        <w:rPr>
          <w:i/>
        </w:rPr>
        <w:t>Actinobacillus pleuropneumoniae; que ingresarán a granjas POSITIVAS a Mycoplasma hyopneumoniae</w:t>
      </w:r>
    </w:p>
    <w:p w:rsidR="009B20F6" w:rsidRPr="00132892" w:rsidRDefault="009B20F6" w:rsidP="00911B49">
      <w:pPr>
        <w:jc w:val="both"/>
        <w:rPr>
          <w:i/>
        </w:rPr>
      </w:pPr>
    </w:p>
    <w:p w:rsidR="00413FE1" w:rsidRPr="00132892" w:rsidRDefault="00413FE1" w:rsidP="00413FE1">
      <w:pPr>
        <w:rPr>
          <w:i/>
        </w:rPr>
      </w:pPr>
      <w:r w:rsidRPr="00132892">
        <w:rPr>
          <w:b/>
          <w:bCs/>
          <w:i/>
        </w:rPr>
        <w:t>Día 0:</w:t>
      </w:r>
      <w:r w:rsidRPr="00132892">
        <w:rPr>
          <w:i/>
        </w:rPr>
        <w:t xml:space="preserve"> </w:t>
      </w:r>
    </w:p>
    <w:p w:rsidR="00413FE1" w:rsidRPr="00132892" w:rsidRDefault="00223556" w:rsidP="00413FE1">
      <w:pPr>
        <w:rPr>
          <w:i/>
        </w:rPr>
      </w:pPr>
      <w:r w:rsidRPr="00132892">
        <w:rPr>
          <w:i/>
        </w:rPr>
        <w:t>Ingreso</w:t>
      </w:r>
      <w:r w:rsidR="00413FE1" w:rsidRPr="00132892">
        <w:rPr>
          <w:i/>
        </w:rPr>
        <w:t xml:space="preserve"> de los animales.</w:t>
      </w:r>
    </w:p>
    <w:p w:rsidR="00413FE1" w:rsidRPr="00132892" w:rsidRDefault="00413FE1" w:rsidP="00413FE1">
      <w:pPr>
        <w:rPr>
          <w:i/>
        </w:rPr>
      </w:pPr>
    </w:p>
    <w:p w:rsidR="00223556" w:rsidRPr="00132892" w:rsidRDefault="00223556" w:rsidP="00223556">
      <w:pPr>
        <w:rPr>
          <w:i/>
        </w:rPr>
      </w:pPr>
      <w:r w:rsidRPr="00132892">
        <w:rPr>
          <w:b/>
          <w:bCs/>
          <w:i/>
        </w:rPr>
        <w:t xml:space="preserve">Día </w:t>
      </w:r>
      <w:r>
        <w:rPr>
          <w:b/>
          <w:bCs/>
          <w:i/>
        </w:rPr>
        <w:t>2</w:t>
      </w:r>
      <w:r w:rsidRPr="00132892">
        <w:rPr>
          <w:b/>
          <w:bCs/>
          <w:i/>
        </w:rPr>
        <w:t xml:space="preserve"> - </w:t>
      </w:r>
      <w:r>
        <w:rPr>
          <w:b/>
          <w:bCs/>
          <w:i/>
        </w:rPr>
        <w:t>3</w:t>
      </w:r>
      <w:r w:rsidRPr="00132892">
        <w:rPr>
          <w:i/>
        </w:rPr>
        <w:t xml:space="preserve">: </w:t>
      </w:r>
    </w:p>
    <w:p w:rsidR="002A01C6" w:rsidRPr="002A01C6" w:rsidRDefault="00223556" w:rsidP="002A01C6">
      <w:pPr>
        <w:pStyle w:val="Prrafodelista"/>
        <w:numPr>
          <w:ilvl w:val="0"/>
          <w:numId w:val="2"/>
        </w:numPr>
        <w:rPr>
          <w:i/>
        </w:rPr>
      </w:pPr>
      <w:r w:rsidRPr="002A01C6">
        <w:rPr>
          <w:i/>
        </w:rPr>
        <w:t>Extracción de muestras de sangre</w:t>
      </w:r>
    </w:p>
    <w:p w:rsidR="00223556" w:rsidRPr="00132892" w:rsidRDefault="00223556" w:rsidP="00223556">
      <w:pPr>
        <w:rPr>
          <w:i/>
        </w:rPr>
      </w:pPr>
      <w:r w:rsidRPr="00132892">
        <w:rPr>
          <w:i/>
        </w:rPr>
        <w:t>Análisis a realizar:</w:t>
      </w:r>
    </w:p>
    <w:p w:rsidR="00223556" w:rsidRDefault="00223556" w:rsidP="00223556">
      <w:pPr>
        <w:rPr>
          <w:rFonts w:asciiTheme="minorHAnsi" w:hAnsiTheme="minorHAnsi"/>
        </w:rPr>
      </w:pPr>
      <w:r>
        <w:t>Brucelosis</w:t>
      </w:r>
    </w:p>
    <w:p w:rsidR="00223556" w:rsidRDefault="00223556" w:rsidP="00223556">
      <w:r>
        <w:t>Aujeszky</w:t>
      </w:r>
    </w:p>
    <w:p w:rsidR="00223556" w:rsidRDefault="00223556" w:rsidP="00223556">
      <w:r>
        <w:t xml:space="preserve">Mycoplasma hyopneumoniae </w:t>
      </w:r>
    </w:p>
    <w:p w:rsidR="00223556" w:rsidRDefault="00223556" w:rsidP="00223556">
      <w:r>
        <w:t xml:space="preserve">Actinobacillus pleuropneumoniae (ELISA IDEXX </w:t>
      </w:r>
      <w:proofErr w:type="spellStart"/>
      <w:r>
        <w:t>ApX</w:t>
      </w:r>
      <w:proofErr w:type="spellEnd"/>
      <w:r>
        <w:t xml:space="preserve"> IV)</w:t>
      </w:r>
    </w:p>
    <w:p w:rsidR="00223556" w:rsidRDefault="00223556" w:rsidP="00223556">
      <w:r>
        <w:t xml:space="preserve">Actinobacillus pleuropneumoniae (ELISA Biovet Multi APP), a los positivos a </w:t>
      </w:r>
      <w:proofErr w:type="spellStart"/>
      <w:r>
        <w:t>ApX</w:t>
      </w:r>
      <w:proofErr w:type="spellEnd"/>
      <w:r>
        <w:t xml:space="preserve"> IV</w:t>
      </w:r>
    </w:p>
    <w:p w:rsidR="00413FE1" w:rsidRDefault="00413FE1" w:rsidP="00413FE1">
      <w:pPr>
        <w:rPr>
          <w:i/>
        </w:rPr>
      </w:pPr>
    </w:p>
    <w:p w:rsidR="002A01C6" w:rsidRPr="00132892" w:rsidRDefault="002A01C6" w:rsidP="002A01C6">
      <w:pPr>
        <w:rPr>
          <w:i/>
        </w:rPr>
      </w:pPr>
      <w:r w:rsidRPr="00132892">
        <w:rPr>
          <w:i/>
        </w:rPr>
        <w:t>Adicionales:</w:t>
      </w:r>
    </w:p>
    <w:p w:rsidR="002A01C6" w:rsidRPr="009B20F6" w:rsidRDefault="002A01C6" w:rsidP="002A01C6">
      <w:r w:rsidRPr="009B20F6">
        <w:t>Ileítis</w:t>
      </w:r>
      <w:r>
        <w:t xml:space="preserve">, </w:t>
      </w:r>
      <w:r w:rsidRPr="009B20F6">
        <w:t>Influenza</w:t>
      </w:r>
      <w:r>
        <w:t xml:space="preserve">, </w:t>
      </w:r>
      <w:r w:rsidRPr="009B20F6">
        <w:t>Circovirus</w:t>
      </w:r>
      <w:r>
        <w:t xml:space="preserve">, </w:t>
      </w:r>
      <w:r w:rsidRPr="009B20F6">
        <w:t>Salmonella</w:t>
      </w:r>
      <w:r>
        <w:t xml:space="preserve">, </w:t>
      </w:r>
      <w:r w:rsidRPr="009B20F6">
        <w:t>Haemophilus parasuis</w:t>
      </w:r>
      <w:r w:rsidR="00237643">
        <w:t>, Coronavirus (TGE y PRCV)</w:t>
      </w:r>
    </w:p>
    <w:p w:rsidR="002A01C6" w:rsidRPr="00132892" w:rsidRDefault="002A01C6" w:rsidP="00413FE1">
      <w:pPr>
        <w:rPr>
          <w:i/>
        </w:rPr>
      </w:pPr>
    </w:p>
    <w:p w:rsidR="00413FE1" w:rsidRPr="005A2EEE" w:rsidRDefault="00413FE1" w:rsidP="005A2EEE">
      <w:pPr>
        <w:pStyle w:val="Prrafodelista"/>
        <w:numPr>
          <w:ilvl w:val="0"/>
          <w:numId w:val="2"/>
        </w:numPr>
        <w:rPr>
          <w:i/>
        </w:rPr>
      </w:pPr>
      <w:r w:rsidRPr="005A2EEE">
        <w:rPr>
          <w:i/>
        </w:rPr>
        <w:t>Vacunación Mycoplasma, Circovirus e Ileítis</w:t>
      </w:r>
    </w:p>
    <w:p w:rsidR="00413FE1" w:rsidRPr="00223556" w:rsidRDefault="00413FE1" w:rsidP="00413FE1">
      <w:pPr>
        <w:rPr>
          <w:i/>
        </w:rPr>
      </w:pPr>
    </w:p>
    <w:p w:rsidR="00413FE1" w:rsidRPr="00132892" w:rsidRDefault="00413FE1" w:rsidP="00413FE1">
      <w:pPr>
        <w:rPr>
          <w:b/>
          <w:bCs/>
          <w:i/>
        </w:rPr>
      </w:pPr>
      <w:r w:rsidRPr="00132892">
        <w:rPr>
          <w:b/>
          <w:bCs/>
          <w:i/>
        </w:rPr>
        <w:t>Día 20:</w:t>
      </w:r>
    </w:p>
    <w:p w:rsidR="00413FE1" w:rsidRPr="00132892" w:rsidRDefault="00413FE1" w:rsidP="00413FE1">
      <w:pPr>
        <w:pStyle w:val="Prrafodelista"/>
        <w:ind w:hanging="360"/>
        <w:rPr>
          <w:i/>
        </w:rPr>
      </w:pPr>
      <w:r w:rsidRPr="00132892">
        <w:rPr>
          <w:i/>
        </w:rPr>
        <w:t>1.</w:t>
      </w:r>
      <w:r w:rsidRPr="00132892">
        <w:rPr>
          <w:rFonts w:ascii="Times New Roman" w:hAnsi="Times New Roman"/>
          <w:i/>
          <w:sz w:val="14"/>
          <w:szCs w:val="14"/>
        </w:rPr>
        <w:t xml:space="preserve">       </w:t>
      </w:r>
      <w:r w:rsidRPr="00132892">
        <w:rPr>
          <w:i/>
        </w:rPr>
        <w:t>Extracción de muestras de sangre para diagnóstico de App</w:t>
      </w:r>
      <w:r w:rsidR="00223556">
        <w:rPr>
          <w:i/>
        </w:rPr>
        <w:t xml:space="preserve"> (segundo sangrado)</w:t>
      </w:r>
    </w:p>
    <w:p w:rsidR="00413FE1" w:rsidRPr="00132892" w:rsidRDefault="00413FE1" w:rsidP="00413FE1">
      <w:pPr>
        <w:pStyle w:val="Prrafodelista"/>
        <w:ind w:hanging="360"/>
        <w:rPr>
          <w:i/>
        </w:rPr>
      </w:pPr>
      <w:r w:rsidRPr="00132892">
        <w:rPr>
          <w:i/>
        </w:rPr>
        <w:t>2.</w:t>
      </w:r>
      <w:r w:rsidRPr="00132892">
        <w:rPr>
          <w:rFonts w:ascii="Times New Roman" w:hAnsi="Times New Roman"/>
          <w:i/>
          <w:sz w:val="14"/>
          <w:szCs w:val="14"/>
        </w:rPr>
        <w:t xml:space="preserve">       </w:t>
      </w:r>
      <w:r w:rsidRPr="00132892">
        <w:rPr>
          <w:i/>
        </w:rPr>
        <w:t>Segunda dosis vacuna Mycoplasma y Circovirus</w:t>
      </w:r>
    </w:p>
    <w:p w:rsidR="00413FE1" w:rsidRPr="00132892" w:rsidRDefault="00413FE1" w:rsidP="00413FE1">
      <w:pPr>
        <w:rPr>
          <w:i/>
        </w:rPr>
      </w:pPr>
    </w:p>
    <w:p w:rsidR="00413FE1" w:rsidRPr="00132892" w:rsidRDefault="00413FE1" w:rsidP="00413FE1">
      <w:pPr>
        <w:rPr>
          <w:b/>
          <w:bCs/>
          <w:i/>
        </w:rPr>
      </w:pPr>
      <w:r w:rsidRPr="00132892">
        <w:rPr>
          <w:b/>
          <w:bCs/>
          <w:i/>
        </w:rPr>
        <w:t>Día 25:</w:t>
      </w:r>
    </w:p>
    <w:p w:rsidR="00413FE1" w:rsidRDefault="00223556" w:rsidP="00413FE1">
      <w:pPr>
        <w:rPr>
          <w:i/>
        </w:rPr>
      </w:pPr>
      <w:proofErr w:type="gramStart"/>
      <w:r>
        <w:rPr>
          <w:i/>
        </w:rPr>
        <w:t>Vacunación Reproductivas</w:t>
      </w:r>
      <w:proofErr w:type="gramEnd"/>
    </w:p>
    <w:p w:rsidR="00223556" w:rsidRPr="00132892" w:rsidRDefault="00223556" w:rsidP="00911B49">
      <w:pPr>
        <w:jc w:val="both"/>
        <w:rPr>
          <w:i/>
        </w:rPr>
      </w:pPr>
      <w:r w:rsidRPr="00132892">
        <w:rPr>
          <w:i/>
        </w:rPr>
        <w:t>Comienzo medicación (Clortetraciclina-Tilosina en alimento, por ejemplo); que durará hasta el egreso.</w:t>
      </w:r>
    </w:p>
    <w:p w:rsidR="00413FE1" w:rsidRDefault="00413FE1" w:rsidP="00413FE1">
      <w:pPr>
        <w:rPr>
          <w:i/>
        </w:rPr>
      </w:pPr>
    </w:p>
    <w:p w:rsidR="00223556" w:rsidRPr="00132892" w:rsidRDefault="00223556" w:rsidP="00223556">
      <w:pPr>
        <w:rPr>
          <w:b/>
          <w:bCs/>
          <w:i/>
        </w:rPr>
      </w:pPr>
      <w:r w:rsidRPr="00132892">
        <w:rPr>
          <w:b/>
          <w:bCs/>
          <w:i/>
        </w:rPr>
        <w:t xml:space="preserve">Día </w:t>
      </w:r>
      <w:r>
        <w:rPr>
          <w:b/>
          <w:bCs/>
          <w:i/>
        </w:rPr>
        <w:t>4</w:t>
      </w:r>
      <w:r w:rsidRPr="00132892">
        <w:rPr>
          <w:b/>
          <w:bCs/>
          <w:i/>
        </w:rPr>
        <w:t>5:</w:t>
      </w:r>
    </w:p>
    <w:p w:rsidR="00223556" w:rsidRDefault="00223556" w:rsidP="00223556">
      <w:pPr>
        <w:rPr>
          <w:i/>
        </w:rPr>
      </w:pPr>
      <w:r>
        <w:rPr>
          <w:i/>
        </w:rPr>
        <w:t>Segunda dosis v</w:t>
      </w:r>
      <w:r>
        <w:rPr>
          <w:i/>
        </w:rPr>
        <w:t>acun</w:t>
      </w:r>
      <w:r>
        <w:rPr>
          <w:i/>
        </w:rPr>
        <w:t>as</w:t>
      </w:r>
      <w:r>
        <w:rPr>
          <w:i/>
        </w:rPr>
        <w:t xml:space="preserve"> Reproductivas</w:t>
      </w:r>
    </w:p>
    <w:p w:rsidR="00911B49" w:rsidRPr="00132892" w:rsidRDefault="00911B49" w:rsidP="00911B49">
      <w:pPr>
        <w:rPr>
          <w:i/>
        </w:rPr>
      </w:pPr>
      <w:r>
        <w:rPr>
          <w:i/>
        </w:rPr>
        <w:t>Tulatromicina o similar, iny</w:t>
      </w:r>
      <w:r w:rsidRPr="00132892">
        <w:rPr>
          <w:i/>
        </w:rPr>
        <w:t>ectable</w:t>
      </w:r>
    </w:p>
    <w:p w:rsidR="00223556" w:rsidRDefault="00223556" w:rsidP="00413FE1">
      <w:pPr>
        <w:rPr>
          <w:i/>
        </w:rPr>
      </w:pPr>
    </w:p>
    <w:p w:rsidR="00223556" w:rsidRPr="00223556" w:rsidRDefault="00223556" w:rsidP="00413FE1">
      <w:pPr>
        <w:rPr>
          <w:b/>
          <w:i/>
        </w:rPr>
      </w:pPr>
      <w:r w:rsidRPr="00223556">
        <w:rPr>
          <w:b/>
          <w:i/>
        </w:rPr>
        <w:t>Día 50:</w:t>
      </w:r>
    </w:p>
    <w:p w:rsidR="00223556" w:rsidRDefault="00223556" w:rsidP="00413FE1">
      <w:pPr>
        <w:rPr>
          <w:i/>
        </w:rPr>
      </w:pPr>
      <w:r>
        <w:rPr>
          <w:i/>
        </w:rPr>
        <w:t>Transferencia a la granja.</w:t>
      </w:r>
    </w:p>
    <w:p w:rsidR="00223556" w:rsidRPr="00132892" w:rsidRDefault="00223556" w:rsidP="00413FE1">
      <w:pPr>
        <w:rPr>
          <w:i/>
        </w:rPr>
      </w:pPr>
    </w:p>
    <w:p w:rsidR="00413FE1" w:rsidRPr="00132892" w:rsidRDefault="00413FE1" w:rsidP="00413FE1">
      <w:pPr>
        <w:rPr>
          <w:i/>
        </w:rPr>
      </w:pPr>
      <w:r w:rsidRPr="00132892">
        <w:rPr>
          <w:b/>
          <w:bCs/>
          <w:i/>
        </w:rPr>
        <w:t xml:space="preserve">Día </w:t>
      </w:r>
      <w:r w:rsidR="00223556">
        <w:rPr>
          <w:b/>
          <w:bCs/>
          <w:i/>
        </w:rPr>
        <w:t>0 – 50</w:t>
      </w:r>
      <w:r w:rsidRPr="00132892">
        <w:rPr>
          <w:i/>
        </w:rPr>
        <w:t xml:space="preserve">: monitoreo mínimo dos veces al día para evaluar estado de salud (apetito, temperatura, tos, diarrea, etc.). </w:t>
      </w:r>
    </w:p>
    <w:p w:rsidR="005655BE" w:rsidRDefault="005655BE" w:rsidP="00413FE1"/>
    <w:p w:rsidR="000B1188" w:rsidRDefault="000B1188" w:rsidP="00413FE1"/>
    <w:p w:rsidR="000B1188" w:rsidRDefault="000B1188" w:rsidP="00413FE1"/>
    <w:p w:rsidR="000B1188" w:rsidRDefault="000B1188" w:rsidP="00413FE1"/>
    <w:p w:rsidR="000B1188" w:rsidRDefault="000B1188" w:rsidP="00413FE1"/>
    <w:p w:rsidR="000B1188" w:rsidRDefault="000B1188" w:rsidP="00413FE1"/>
    <w:p w:rsidR="000B1188" w:rsidRDefault="000B1188" w:rsidP="00413FE1"/>
    <w:p w:rsidR="000B1188" w:rsidRDefault="000B1188" w:rsidP="000B1188">
      <w:pPr>
        <w:rPr>
          <w:b/>
          <w:i/>
        </w:rPr>
      </w:pPr>
      <w:r>
        <w:rPr>
          <w:b/>
          <w:i/>
        </w:rPr>
        <w:t>PROTOCOLO 3</w:t>
      </w:r>
    </w:p>
    <w:p w:rsidR="005A2EEE" w:rsidRDefault="005A2EEE" w:rsidP="000B1188">
      <w:pPr>
        <w:rPr>
          <w:b/>
          <w:i/>
        </w:rPr>
      </w:pPr>
    </w:p>
    <w:p w:rsidR="00911B49" w:rsidRPr="00911B49" w:rsidRDefault="00911B49" w:rsidP="00911B49">
      <w:pPr>
        <w:rPr>
          <w:b/>
          <w:i/>
        </w:rPr>
      </w:pPr>
      <w:r w:rsidRPr="00911B49">
        <w:rPr>
          <w:b/>
          <w:i/>
        </w:rPr>
        <w:t>Alcance:</w:t>
      </w:r>
    </w:p>
    <w:p w:rsidR="000B1188" w:rsidRDefault="000B1188" w:rsidP="00237643">
      <w:pPr>
        <w:jc w:val="both"/>
        <w:rPr>
          <w:i/>
        </w:rPr>
      </w:pPr>
      <w:r>
        <w:rPr>
          <w:i/>
        </w:rPr>
        <w:t>Cerdos nacionales, libres de Actinobacillus pleuropneumoniae; que ingresarán a granjas POSITIVAS a Mycoplasma hyopneumoniae</w:t>
      </w:r>
      <w:r>
        <w:rPr>
          <w:i/>
        </w:rPr>
        <w:t>; provenientes de núcleo genético de similar status sanitario</w:t>
      </w:r>
    </w:p>
    <w:p w:rsidR="000B1188" w:rsidRDefault="000B1188" w:rsidP="000B1188">
      <w:pPr>
        <w:rPr>
          <w:b/>
          <w:bCs/>
          <w:i/>
        </w:rPr>
      </w:pPr>
    </w:p>
    <w:p w:rsidR="000B1188" w:rsidRPr="00132892" w:rsidRDefault="000B1188" w:rsidP="000B1188">
      <w:pPr>
        <w:rPr>
          <w:i/>
        </w:rPr>
      </w:pPr>
      <w:r w:rsidRPr="00132892">
        <w:rPr>
          <w:b/>
          <w:bCs/>
          <w:i/>
        </w:rPr>
        <w:t>Día 0:</w:t>
      </w:r>
      <w:r w:rsidRPr="00132892">
        <w:rPr>
          <w:i/>
        </w:rPr>
        <w:t xml:space="preserve"> </w:t>
      </w:r>
    </w:p>
    <w:p w:rsidR="000B1188" w:rsidRPr="00132892" w:rsidRDefault="00911B49" w:rsidP="000B1188">
      <w:pPr>
        <w:rPr>
          <w:i/>
        </w:rPr>
      </w:pPr>
      <w:r w:rsidRPr="00132892">
        <w:rPr>
          <w:i/>
        </w:rPr>
        <w:t>Ingreso</w:t>
      </w:r>
      <w:r w:rsidR="000B1188" w:rsidRPr="00132892">
        <w:rPr>
          <w:i/>
        </w:rPr>
        <w:t xml:space="preserve"> de los animales.</w:t>
      </w:r>
    </w:p>
    <w:p w:rsidR="000B1188" w:rsidRPr="00132892" w:rsidRDefault="000B1188" w:rsidP="000B1188">
      <w:pPr>
        <w:rPr>
          <w:i/>
        </w:rPr>
      </w:pPr>
    </w:p>
    <w:p w:rsidR="000B1188" w:rsidRDefault="000B1188" w:rsidP="000B1188">
      <w:pPr>
        <w:rPr>
          <w:i/>
        </w:rPr>
      </w:pPr>
      <w:r w:rsidRPr="00132892">
        <w:rPr>
          <w:b/>
          <w:bCs/>
          <w:i/>
        </w:rPr>
        <w:t>Día 0 - 2</w:t>
      </w:r>
      <w:r w:rsidRPr="00132892">
        <w:rPr>
          <w:i/>
        </w:rPr>
        <w:t xml:space="preserve">: </w:t>
      </w:r>
    </w:p>
    <w:p w:rsidR="002A01C6" w:rsidRPr="00132892" w:rsidRDefault="002A01C6" w:rsidP="000B1188">
      <w:pPr>
        <w:rPr>
          <w:i/>
        </w:rPr>
      </w:pPr>
    </w:p>
    <w:p w:rsidR="000B1188" w:rsidRDefault="002A01C6" w:rsidP="005A2EEE">
      <w:pPr>
        <w:pStyle w:val="Prrafodelista"/>
        <w:numPr>
          <w:ilvl w:val="0"/>
          <w:numId w:val="3"/>
        </w:numPr>
        <w:rPr>
          <w:i/>
        </w:rPr>
      </w:pPr>
      <w:r w:rsidRPr="005A2EEE">
        <w:rPr>
          <w:i/>
        </w:rPr>
        <w:t>Extracción de muestras de sangre</w:t>
      </w:r>
    </w:p>
    <w:p w:rsidR="005A2EEE" w:rsidRPr="005A2EEE" w:rsidRDefault="005A2EEE" w:rsidP="005A2EEE">
      <w:pPr>
        <w:pStyle w:val="Prrafodelista"/>
        <w:rPr>
          <w:i/>
        </w:rPr>
      </w:pPr>
    </w:p>
    <w:p w:rsidR="000B1188" w:rsidRPr="00132892" w:rsidRDefault="000B1188" w:rsidP="000B1188">
      <w:pPr>
        <w:rPr>
          <w:i/>
        </w:rPr>
      </w:pPr>
      <w:r w:rsidRPr="00132892">
        <w:rPr>
          <w:i/>
        </w:rPr>
        <w:t>Análisis a realizar:</w:t>
      </w:r>
    </w:p>
    <w:p w:rsidR="002A01C6" w:rsidRDefault="002A01C6" w:rsidP="002A01C6">
      <w:pPr>
        <w:rPr>
          <w:rFonts w:asciiTheme="minorHAnsi" w:hAnsiTheme="minorHAnsi"/>
        </w:rPr>
      </w:pPr>
      <w:r>
        <w:t>Brucelosis</w:t>
      </w:r>
    </w:p>
    <w:p w:rsidR="002A01C6" w:rsidRDefault="002A01C6" w:rsidP="002A01C6">
      <w:r>
        <w:t>Aujeszky</w:t>
      </w:r>
    </w:p>
    <w:p w:rsidR="002A01C6" w:rsidRDefault="002A01C6" w:rsidP="002A01C6">
      <w:r>
        <w:t xml:space="preserve">Mycoplasma hyopneumoniae </w:t>
      </w:r>
    </w:p>
    <w:p w:rsidR="002A01C6" w:rsidRDefault="002A01C6" w:rsidP="002A01C6">
      <w:r>
        <w:t xml:space="preserve">Actinobacillus pleuropneumoniae (ELISA IDEXX </w:t>
      </w:r>
      <w:proofErr w:type="spellStart"/>
      <w:r>
        <w:t>ApX</w:t>
      </w:r>
      <w:proofErr w:type="spellEnd"/>
      <w:r>
        <w:t xml:space="preserve"> IV)</w:t>
      </w:r>
    </w:p>
    <w:p w:rsidR="000B1188" w:rsidRPr="00132892" w:rsidRDefault="000B1188" w:rsidP="000B1188">
      <w:pPr>
        <w:rPr>
          <w:i/>
        </w:rPr>
      </w:pPr>
    </w:p>
    <w:p w:rsidR="000B1188" w:rsidRPr="00132892" w:rsidRDefault="000B1188" w:rsidP="000B1188">
      <w:pPr>
        <w:rPr>
          <w:i/>
        </w:rPr>
      </w:pPr>
      <w:r w:rsidRPr="00132892">
        <w:rPr>
          <w:i/>
        </w:rPr>
        <w:t>Adicionales:</w:t>
      </w:r>
      <w:r w:rsidR="002A01C6">
        <w:rPr>
          <w:i/>
        </w:rPr>
        <w:t xml:space="preserve"> </w:t>
      </w:r>
    </w:p>
    <w:p w:rsidR="002A01C6" w:rsidRPr="009B20F6" w:rsidRDefault="002A01C6" w:rsidP="002A01C6">
      <w:r w:rsidRPr="009B20F6">
        <w:t>Ileítis</w:t>
      </w:r>
      <w:r>
        <w:t xml:space="preserve">, </w:t>
      </w:r>
      <w:r w:rsidRPr="009B20F6">
        <w:t>Influenza</w:t>
      </w:r>
      <w:r>
        <w:t xml:space="preserve">, </w:t>
      </w:r>
      <w:r w:rsidRPr="009B20F6">
        <w:t>Circovirus</w:t>
      </w:r>
      <w:r>
        <w:t xml:space="preserve">, </w:t>
      </w:r>
      <w:r w:rsidRPr="009B20F6">
        <w:t>Salmonella</w:t>
      </w:r>
      <w:r>
        <w:t xml:space="preserve">, </w:t>
      </w:r>
      <w:r w:rsidRPr="009B20F6">
        <w:t>Haemophilus parasuis</w:t>
      </w:r>
      <w:r w:rsidR="00237643">
        <w:t xml:space="preserve">, </w:t>
      </w:r>
      <w:r w:rsidR="00237643">
        <w:t>Coronavirus (TGE y PRCV)</w:t>
      </w:r>
      <w:r w:rsidR="00237643">
        <w:t>.</w:t>
      </w:r>
      <w:bookmarkStart w:id="0" w:name="_GoBack"/>
      <w:bookmarkEnd w:id="0"/>
    </w:p>
    <w:p w:rsidR="000B1188" w:rsidRPr="00132892" w:rsidRDefault="000B1188" w:rsidP="000B1188">
      <w:pPr>
        <w:rPr>
          <w:i/>
        </w:rPr>
      </w:pPr>
    </w:p>
    <w:p w:rsidR="000B1188" w:rsidRPr="005A2EEE" w:rsidRDefault="000B1188" w:rsidP="005A2EEE">
      <w:pPr>
        <w:pStyle w:val="Prrafodelista"/>
        <w:numPr>
          <w:ilvl w:val="0"/>
          <w:numId w:val="3"/>
        </w:numPr>
        <w:rPr>
          <w:i/>
        </w:rPr>
      </w:pPr>
      <w:r w:rsidRPr="005A2EEE">
        <w:rPr>
          <w:i/>
        </w:rPr>
        <w:t>Vacunación Mycoplasma, Circovirus e Ileítis</w:t>
      </w:r>
    </w:p>
    <w:p w:rsidR="000B1188" w:rsidRPr="00132892" w:rsidRDefault="000B1188" w:rsidP="000B1188">
      <w:pPr>
        <w:rPr>
          <w:i/>
        </w:rPr>
      </w:pPr>
    </w:p>
    <w:p w:rsidR="000B1188" w:rsidRDefault="000B1188" w:rsidP="000B1188">
      <w:pPr>
        <w:rPr>
          <w:i/>
        </w:rPr>
      </w:pPr>
      <w:r w:rsidRPr="00132892">
        <w:rPr>
          <w:b/>
          <w:bCs/>
          <w:i/>
        </w:rPr>
        <w:t>Día 14</w:t>
      </w:r>
      <w:r w:rsidRPr="00132892">
        <w:rPr>
          <w:i/>
        </w:rPr>
        <w:t>:</w:t>
      </w:r>
    </w:p>
    <w:p w:rsidR="005A2EEE" w:rsidRPr="00132892" w:rsidRDefault="005A2EEE" w:rsidP="000B1188">
      <w:pPr>
        <w:rPr>
          <w:i/>
        </w:rPr>
      </w:pPr>
    </w:p>
    <w:p w:rsidR="000B1188" w:rsidRDefault="000B1188" w:rsidP="000B1188">
      <w:pPr>
        <w:rPr>
          <w:i/>
        </w:rPr>
      </w:pPr>
      <w:r w:rsidRPr="00132892">
        <w:rPr>
          <w:i/>
        </w:rPr>
        <w:t>Comienzo medicación (Clortetraciclina-Tilosina en alimento, por ejemplo); que durará hasta el egreso.</w:t>
      </w:r>
    </w:p>
    <w:p w:rsidR="002A01C6" w:rsidRPr="00132892" w:rsidRDefault="002A01C6" w:rsidP="000B1188">
      <w:pPr>
        <w:rPr>
          <w:i/>
        </w:rPr>
      </w:pPr>
      <w:r>
        <w:rPr>
          <w:i/>
        </w:rPr>
        <w:t>Vacunación reproductivas</w:t>
      </w:r>
    </w:p>
    <w:p w:rsidR="000B1188" w:rsidRPr="00132892" w:rsidRDefault="000B1188" w:rsidP="000B1188">
      <w:pPr>
        <w:rPr>
          <w:i/>
        </w:rPr>
      </w:pPr>
    </w:p>
    <w:p w:rsidR="000B1188" w:rsidRDefault="000B1188" w:rsidP="000B1188">
      <w:pPr>
        <w:rPr>
          <w:b/>
          <w:bCs/>
          <w:i/>
        </w:rPr>
      </w:pPr>
      <w:r w:rsidRPr="00132892">
        <w:rPr>
          <w:b/>
          <w:bCs/>
          <w:i/>
        </w:rPr>
        <w:t>Día 20:</w:t>
      </w:r>
    </w:p>
    <w:p w:rsidR="005A2EEE" w:rsidRPr="00132892" w:rsidRDefault="005A2EEE" w:rsidP="000B1188">
      <w:pPr>
        <w:rPr>
          <w:b/>
          <w:bCs/>
          <w:i/>
        </w:rPr>
      </w:pPr>
    </w:p>
    <w:p w:rsidR="000B1188" w:rsidRDefault="000B1188" w:rsidP="000B1188">
      <w:pPr>
        <w:pStyle w:val="Prrafodelista"/>
        <w:ind w:hanging="360"/>
        <w:rPr>
          <w:i/>
        </w:rPr>
      </w:pPr>
      <w:r w:rsidRPr="00132892">
        <w:rPr>
          <w:i/>
        </w:rPr>
        <w:t>1.</w:t>
      </w:r>
      <w:r w:rsidRPr="00132892">
        <w:rPr>
          <w:rFonts w:ascii="Times New Roman" w:hAnsi="Times New Roman"/>
          <w:i/>
          <w:sz w:val="14"/>
          <w:szCs w:val="14"/>
        </w:rPr>
        <w:t xml:space="preserve">       </w:t>
      </w:r>
      <w:r w:rsidRPr="00132892">
        <w:rPr>
          <w:i/>
        </w:rPr>
        <w:t>Extracción de muestras de sangre para diagnóstico de App</w:t>
      </w:r>
    </w:p>
    <w:p w:rsidR="005A2EEE" w:rsidRPr="00132892" w:rsidRDefault="005A2EEE" w:rsidP="000B1188">
      <w:pPr>
        <w:pStyle w:val="Prrafodelista"/>
        <w:ind w:hanging="360"/>
        <w:rPr>
          <w:i/>
        </w:rPr>
      </w:pPr>
    </w:p>
    <w:p w:rsidR="000B1188" w:rsidRPr="00132892" w:rsidRDefault="000B1188" w:rsidP="000B1188">
      <w:pPr>
        <w:pStyle w:val="Prrafodelista"/>
        <w:ind w:hanging="360"/>
        <w:rPr>
          <w:i/>
        </w:rPr>
      </w:pPr>
      <w:r w:rsidRPr="00132892">
        <w:rPr>
          <w:i/>
        </w:rPr>
        <w:t>2.</w:t>
      </w:r>
      <w:r w:rsidRPr="00132892">
        <w:rPr>
          <w:rFonts w:ascii="Times New Roman" w:hAnsi="Times New Roman"/>
          <w:i/>
          <w:sz w:val="14"/>
          <w:szCs w:val="14"/>
        </w:rPr>
        <w:t xml:space="preserve">       </w:t>
      </w:r>
      <w:r w:rsidRPr="00132892">
        <w:rPr>
          <w:i/>
        </w:rPr>
        <w:t>Segunda dosis vacuna Mycoplasma y Circovirus</w:t>
      </w:r>
      <w:r w:rsidR="002A01C6">
        <w:rPr>
          <w:i/>
        </w:rPr>
        <w:t xml:space="preserve">. </w:t>
      </w:r>
    </w:p>
    <w:p w:rsidR="000B1188" w:rsidRPr="00132892" w:rsidRDefault="000B1188" w:rsidP="000B1188">
      <w:pPr>
        <w:rPr>
          <w:i/>
        </w:rPr>
      </w:pPr>
    </w:p>
    <w:p w:rsidR="000B1188" w:rsidRDefault="000B1188" w:rsidP="000B1188">
      <w:pPr>
        <w:rPr>
          <w:b/>
          <w:bCs/>
          <w:i/>
        </w:rPr>
      </w:pPr>
      <w:r w:rsidRPr="00132892">
        <w:rPr>
          <w:b/>
          <w:bCs/>
          <w:i/>
        </w:rPr>
        <w:t>Día 2</w:t>
      </w:r>
      <w:r w:rsidR="002A01C6">
        <w:rPr>
          <w:b/>
          <w:bCs/>
          <w:i/>
        </w:rPr>
        <w:t>9</w:t>
      </w:r>
      <w:r w:rsidRPr="00132892">
        <w:rPr>
          <w:b/>
          <w:bCs/>
          <w:i/>
        </w:rPr>
        <w:t>:</w:t>
      </w:r>
    </w:p>
    <w:p w:rsidR="005A2EEE" w:rsidRPr="00132892" w:rsidRDefault="005A2EEE" w:rsidP="000B1188">
      <w:pPr>
        <w:rPr>
          <w:b/>
          <w:bCs/>
          <w:i/>
        </w:rPr>
      </w:pPr>
    </w:p>
    <w:p w:rsidR="00911B49" w:rsidRPr="00132892" w:rsidRDefault="00911B49" w:rsidP="00911B49">
      <w:pPr>
        <w:rPr>
          <w:i/>
        </w:rPr>
      </w:pPr>
      <w:r>
        <w:rPr>
          <w:i/>
        </w:rPr>
        <w:t>Tulatromicina o similar, iny</w:t>
      </w:r>
      <w:r w:rsidRPr="00132892">
        <w:rPr>
          <w:i/>
        </w:rPr>
        <w:t>ectable</w:t>
      </w:r>
    </w:p>
    <w:p w:rsidR="002A01C6" w:rsidRPr="00132892" w:rsidRDefault="002A01C6" w:rsidP="000B1188">
      <w:pPr>
        <w:rPr>
          <w:i/>
        </w:rPr>
      </w:pPr>
      <w:r>
        <w:rPr>
          <w:i/>
        </w:rPr>
        <w:t>Vacunación reproductivas</w:t>
      </w:r>
      <w:r>
        <w:rPr>
          <w:i/>
        </w:rPr>
        <w:t xml:space="preserve"> (segunda dosis</w:t>
      </w:r>
      <w:r w:rsidR="00237643">
        <w:rPr>
          <w:i/>
        </w:rPr>
        <w:t xml:space="preserve"> – o puede aplicarse a la semana de ingresadas a la granja, para respetar el lapso de 21 días entre dosis-</w:t>
      </w:r>
      <w:r>
        <w:rPr>
          <w:i/>
        </w:rPr>
        <w:t>)</w:t>
      </w:r>
    </w:p>
    <w:p w:rsidR="000B1188" w:rsidRPr="00132892" w:rsidRDefault="000B1188" w:rsidP="000B1188">
      <w:pPr>
        <w:rPr>
          <w:i/>
        </w:rPr>
      </w:pPr>
    </w:p>
    <w:p w:rsidR="000B1188" w:rsidRPr="00132892" w:rsidRDefault="000B1188" w:rsidP="000B1188">
      <w:pPr>
        <w:rPr>
          <w:b/>
          <w:bCs/>
          <w:i/>
        </w:rPr>
      </w:pPr>
      <w:r w:rsidRPr="00132892">
        <w:rPr>
          <w:b/>
          <w:bCs/>
          <w:i/>
        </w:rPr>
        <w:t xml:space="preserve">Día </w:t>
      </w:r>
      <w:r w:rsidR="002A01C6">
        <w:rPr>
          <w:b/>
          <w:bCs/>
          <w:i/>
        </w:rPr>
        <w:t>30</w:t>
      </w:r>
      <w:r w:rsidRPr="00132892">
        <w:rPr>
          <w:b/>
          <w:bCs/>
          <w:i/>
        </w:rPr>
        <w:t>:</w:t>
      </w:r>
    </w:p>
    <w:p w:rsidR="000B1188" w:rsidRPr="00132892" w:rsidRDefault="000B1188" w:rsidP="000B1188">
      <w:pPr>
        <w:rPr>
          <w:i/>
        </w:rPr>
      </w:pPr>
      <w:r w:rsidRPr="00132892">
        <w:rPr>
          <w:i/>
        </w:rPr>
        <w:t>Transferencia a la granja</w:t>
      </w:r>
    </w:p>
    <w:p w:rsidR="000B1188" w:rsidRPr="00132892" w:rsidRDefault="000B1188" w:rsidP="000B1188">
      <w:pPr>
        <w:rPr>
          <w:i/>
        </w:rPr>
      </w:pPr>
    </w:p>
    <w:p w:rsidR="000B1188" w:rsidRPr="00413FE1" w:rsidRDefault="000B1188" w:rsidP="00237643">
      <w:pPr>
        <w:jc w:val="both"/>
      </w:pPr>
      <w:r w:rsidRPr="00132892">
        <w:rPr>
          <w:b/>
          <w:bCs/>
          <w:i/>
        </w:rPr>
        <w:t xml:space="preserve">Día </w:t>
      </w:r>
      <w:r w:rsidR="002A01C6">
        <w:rPr>
          <w:b/>
          <w:bCs/>
          <w:i/>
        </w:rPr>
        <w:t>0</w:t>
      </w:r>
      <w:r w:rsidRPr="00132892">
        <w:rPr>
          <w:b/>
          <w:bCs/>
          <w:i/>
        </w:rPr>
        <w:t xml:space="preserve"> – 3</w:t>
      </w:r>
      <w:r w:rsidR="002A01C6">
        <w:rPr>
          <w:b/>
          <w:bCs/>
          <w:i/>
        </w:rPr>
        <w:t>0</w:t>
      </w:r>
      <w:r w:rsidRPr="00132892">
        <w:rPr>
          <w:i/>
        </w:rPr>
        <w:t xml:space="preserve">: monitoreo mínimo dos veces al día para evaluar estado de salud (apetito, temperatura, tos, diarrea, etc.). </w:t>
      </w:r>
    </w:p>
    <w:sectPr w:rsidR="000B1188" w:rsidRPr="00413FE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04" w:rsidRDefault="00E47104" w:rsidP="00E47104">
      <w:r>
        <w:separator/>
      </w:r>
    </w:p>
  </w:endnote>
  <w:endnote w:type="continuationSeparator" w:id="0">
    <w:p w:rsidR="00E47104" w:rsidRDefault="00E47104" w:rsidP="00E4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04" w:rsidRDefault="00E47104" w:rsidP="00E47104">
      <w:r>
        <w:separator/>
      </w:r>
    </w:p>
  </w:footnote>
  <w:footnote w:type="continuationSeparator" w:id="0">
    <w:p w:rsidR="00E47104" w:rsidRDefault="00E47104" w:rsidP="00E4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web2"/>
      <w:tblW w:w="0" w:type="auto"/>
      <w:tblInd w:w="163" w:type="dxa"/>
      <w:tblLook w:val="01E0" w:firstRow="1" w:lastRow="1" w:firstColumn="1" w:lastColumn="1" w:noHBand="0" w:noVBand="0"/>
    </w:tblPr>
    <w:tblGrid>
      <w:gridCol w:w="2271"/>
      <w:gridCol w:w="3512"/>
      <w:gridCol w:w="2542"/>
    </w:tblGrid>
    <w:tr w:rsidR="00E47104" w:rsidTr="00E4710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09"/>
      </w:trPr>
      <w:tc>
        <w:tcPr>
          <w:tcW w:w="2211" w:type="dxa"/>
          <w:vAlign w:val="center"/>
        </w:tcPr>
        <w:p w:rsidR="00E47104" w:rsidRPr="0050548C" w:rsidRDefault="00E47104" w:rsidP="00E47104">
          <w:pPr>
            <w:jc w:val="center"/>
          </w:pPr>
          <w:r w:rsidRPr="002513B6">
            <w:rPr>
              <w:rFonts w:ascii="Arial" w:hAnsi="Arial" w:cs="Arial"/>
              <w:b/>
              <w:i/>
              <w:noProof/>
            </w:rPr>
            <w:drawing>
              <wp:inline distT="0" distB="0" distL="0" distR="0">
                <wp:extent cx="1143000" cy="304800"/>
                <wp:effectExtent l="0" t="0" r="0" b="0"/>
                <wp:docPr id="1" name="Imagen 1" descr="LogoLla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lam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dxa"/>
          <w:vAlign w:val="center"/>
        </w:tcPr>
        <w:p w:rsidR="00E47104" w:rsidRDefault="00E47104" w:rsidP="00E47104">
          <w:pPr>
            <w:pStyle w:val="Encabezado"/>
            <w:spacing w:before="240"/>
            <w:jc w:val="center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/>
              <w:iCs/>
            </w:rPr>
            <w:t>INSTRUCTIVO</w:t>
          </w:r>
        </w:p>
        <w:p w:rsidR="00E47104" w:rsidRPr="008362B0" w:rsidRDefault="00413FE1" w:rsidP="00413FE1">
          <w:pPr>
            <w:pStyle w:val="Encabezado"/>
            <w:spacing w:after="240"/>
            <w:jc w:val="center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/>
              <w:iCs/>
            </w:rPr>
            <w:t>Protocolos de Cuarentena en Porcinos</w:t>
          </w:r>
        </w:p>
      </w:tc>
      <w:tc>
        <w:tcPr>
          <w:tcW w:w="2482" w:type="dxa"/>
          <w:vAlign w:val="center"/>
        </w:tcPr>
        <w:p w:rsidR="00E47104" w:rsidRPr="0050548C" w:rsidRDefault="00E47104" w:rsidP="00E47104">
          <w:pPr>
            <w:pStyle w:val="Encabezado"/>
            <w:jc w:val="both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I</w:t>
          </w:r>
          <w:r w:rsidR="006878D7">
            <w:rPr>
              <w:rFonts w:ascii="Arial" w:hAnsi="Arial" w:cs="Arial"/>
              <w:i/>
              <w:iCs/>
              <w:sz w:val="16"/>
              <w:szCs w:val="16"/>
            </w:rPr>
            <w:t>NS 507-31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Pr="0050548C">
            <w:rPr>
              <w:rFonts w:ascii="Arial" w:hAnsi="Arial" w:cs="Arial"/>
              <w:i/>
              <w:iCs/>
              <w:sz w:val="16"/>
              <w:szCs w:val="16"/>
            </w:rPr>
            <w:t>Versión 0</w:t>
          </w:r>
          <w:r w:rsidR="000B1188">
            <w:rPr>
              <w:rFonts w:ascii="Arial" w:hAnsi="Arial" w:cs="Arial"/>
              <w:i/>
              <w:iCs/>
              <w:sz w:val="16"/>
              <w:szCs w:val="16"/>
            </w:rPr>
            <w:t>2</w:t>
          </w:r>
        </w:p>
        <w:p w:rsidR="00E47104" w:rsidRDefault="00E47104" w:rsidP="00E47104">
          <w:pPr>
            <w:pStyle w:val="Encabezado"/>
            <w:jc w:val="both"/>
            <w:rPr>
              <w:rFonts w:ascii="Arial" w:hAnsi="Arial" w:cs="Arial"/>
              <w:i/>
              <w:iCs/>
              <w:sz w:val="16"/>
              <w:szCs w:val="16"/>
            </w:rPr>
          </w:pPr>
          <w:r w:rsidRPr="0050548C">
            <w:rPr>
              <w:rFonts w:ascii="Arial" w:hAnsi="Arial" w:cs="Arial"/>
              <w:i/>
              <w:iCs/>
              <w:sz w:val="16"/>
              <w:szCs w:val="16"/>
            </w:rPr>
            <w:t xml:space="preserve">Fecha vigencia </w:t>
          </w:r>
          <w:r w:rsidR="00413FE1">
            <w:rPr>
              <w:rFonts w:ascii="Arial" w:hAnsi="Arial" w:cs="Arial"/>
              <w:i/>
              <w:iCs/>
              <w:sz w:val="16"/>
              <w:szCs w:val="16"/>
            </w:rPr>
            <w:t>2</w:t>
          </w:r>
          <w:r w:rsidR="000B1188">
            <w:rPr>
              <w:rFonts w:ascii="Arial" w:hAnsi="Arial" w:cs="Arial"/>
              <w:i/>
              <w:iCs/>
              <w:sz w:val="16"/>
              <w:szCs w:val="16"/>
            </w:rPr>
            <w:t>1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/</w:t>
          </w:r>
          <w:r w:rsidR="00413FE1">
            <w:rPr>
              <w:rFonts w:ascii="Arial" w:hAnsi="Arial" w:cs="Arial"/>
              <w:i/>
              <w:iCs/>
              <w:sz w:val="16"/>
              <w:szCs w:val="16"/>
            </w:rPr>
            <w:t>1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0/1</w:t>
          </w:r>
          <w:r w:rsidR="000B1188">
            <w:rPr>
              <w:rFonts w:ascii="Arial" w:hAnsi="Arial" w:cs="Arial"/>
              <w:i/>
              <w:iCs/>
              <w:sz w:val="16"/>
              <w:szCs w:val="16"/>
            </w:rPr>
            <w:t>7</w:t>
          </w:r>
        </w:p>
        <w:p w:rsidR="00E47104" w:rsidRPr="0050548C" w:rsidRDefault="00E47104" w:rsidP="00E47104">
          <w:pPr>
            <w:pStyle w:val="Encabezado"/>
            <w:jc w:val="both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Frecuencia de Revisión: anual</w:t>
          </w:r>
        </w:p>
        <w:p w:rsidR="00E47104" w:rsidRPr="0050548C" w:rsidRDefault="00E47104" w:rsidP="00E47104">
          <w:pPr>
            <w:pStyle w:val="Encabezado"/>
            <w:jc w:val="both"/>
            <w:rPr>
              <w:sz w:val="16"/>
              <w:szCs w:val="16"/>
            </w:rPr>
          </w:pPr>
          <w:r w:rsidRPr="0050548C">
            <w:rPr>
              <w:rFonts w:ascii="Arial" w:hAnsi="Arial" w:cs="Arial"/>
              <w:i/>
              <w:iCs/>
              <w:sz w:val="16"/>
              <w:szCs w:val="16"/>
            </w:rPr>
            <w:t xml:space="preserve">Pág. </w:t>
          </w:r>
          <w:r w:rsidRPr="0050548C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50548C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PAGE </w:instrText>
          </w:r>
          <w:r w:rsidRPr="0050548C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237643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3</w:t>
          </w:r>
          <w:r w:rsidRPr="0050548C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50548C">
            <w:rPr>
              <w:rFonts w:ascii="Arial" w:hAnsi="Arial" w:cs="Arial"/>
              <w:i/>
              <w:iCs/>
              <w:sz w:val="16"/>
              <w:szCs w:val="16"/>
            </w:rPr>
            <w:t xml:space="preserve"> de </w:t>
          </w:r>
          <w:r w:rsidRPr="0050548C">
            <w:rPr>
              <w:rStyle w:val="Nmerodepgina"/>
              <w:rFonts w:ascii="Arial" w:hAnsi="Arial" w:cs="Arial"/>
              <w:i/>
              <w:sz w:val="16"/>
              <w:szCs w:val="16"/>
            </w:rPr>
            <w:fldChar w:fldCharType="begin"/>
          </w:r>
          <w:r w:rsidRPr="0050548C">
            <w:rPr>
              <w:rStyle w:val="Nmerodepgina"/>
              <w:rFonts w:ascii="Arial" w:hAnsi="Arial" w:cs="Arial"/>
              <w:i/>
              <w:sz w:val="16"/>
              <w:szCs w:val="16"/>
            </w:rPr>
            <w:instrText xml:space="preserve"> NUMPAGES  \* MERGEFORMAT </w:instrText>
          </w:r>
          <w:r w:rsidRPr="0050548C">
            <w:rPr>
              <w:rStyle w:val="Nmerodepgina"/>
              <w:rFonts w:ascii="Arial" w:hAnsi="Arial" w:cs="Arial"/>
              <w:i/>
              <w:sz w:val="16"/>
              <w:szCs w:val="16"/>
            </w:rPr>
            <w:fldChar w:fldCharType="separate"/>
          </w:r>
          <w:r w:rsidR="00237643">
            <w:rPr>
              <w:rStyle w:val="Nmerodepgina"/>
              <w:rFonts w:ascii="Arial" w:hAnsi="Arial" w:cs="Arial"/>
              <w:i/>
              <w:noProof/>
              <w:sz w:val="16"/>
              <w:szCs w:val="16"/>
            </w:rPr>
            <w:t>3</w:t>
          </w:r>
          <w:r w:rsidRPr="0050548C">
            <w:rPr>
              <w:rStyle w:val="Nmerodepgina"/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E47104" w:rsidRDefault="00E471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485"/>
    <w:multiLevelType w:val="hybridMultilevel"/>
    <w:tmpl w:val="51A0F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56FB"/>
    <w:multiLevelType w:val="hybridMultilevel"/>
    <w:tmpl w:val="4FD4D2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5FAB"/>
    <w:multiLevelType w:val="hybridMultilevel"/>
    <w:tmpl w:val="39FAA7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6E"/>
    <w:rsid w:val="000B1188"/>
    <w:rsid w:val="00132892"/>
    <w:rsid w:val="001B4F68"/>
    <w:rsid w:val="00223556"/>
    <w:rsid w:val="00237643"/>
    <w:rsid w:val="002A01C6"/>
    <w:rsid w:val="00413FE1"/>
    <w:rsid w:val="005655BE"/>
    <w:rsid w:val="005A2EEE"/>
    <w:rsid w:val="006878D7"/>
    <w:rsid w:val="00911B49"/>
    <w:rsid w:val="009B20F6"/>
    <w:rsid w:val="009B2FBB"/>
    <w:rsid w:val="00C55517"/>
    <w:rsid w:val="00CD2AB3"/>
    <w:rsid w:val="00E47104"/>
    <w:rsid w:val="00F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E2725-5E18-4711-95BE-9D80870E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E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6F6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47104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47104"/>
  </w:style>
  <w:style w:type="paragraph" w:styleId="Piedepgina">
    <w:name w:val="footer"/>
    <w:basedOn w:val="Normal"/>
    <w:link w:val="PiedepginaCar"/>
    <w:uiPriority w:val="99"/>
    <w:unhideWhenUsed/>
    <w:rsid w:val="00E47104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104"/>
  </w:style>
  <w:style w:type="character" w:styleId="Nmerodepgina">
    <w:name w:val="page number"/>
    <w:basedOn w:val="Fuentedeprrafopredeter"/>
    <w:rsid w:val="00E47104"/>
  </w:style>
  <w:style w:type="table" w:styleId="Tablaweb2">
    <w:name w:val="Table Web 2"/>
    <w:basedOn w:val="Tablanormal"/>
    <w:rsid w:val="00E4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13F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1CC0-E51E-42CC-9E32-2AF08C36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Llamas</dc:creator>
  <cp:keywords/>
  <dc:description/>
  <cp:lastModifiedBy>Ramiro Llamas</cp:lastModifiedBy>
  <cp:revision>4</cp:revision>
  <dcterms:created xsi:type="dcterms:W3CDTF">2018-01-19T16:01:00Z</dcterms:created>
  <dcterms:modified xsi:type="dcterms:W3CDTF">2018-01-19T20:00:00Z</dcterms:modified>
</cp:coreProperties>
</file>